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2851"/>
        <w:tblW w:w="10637" w:type="dxa"/>
        <w:tblLook w:val="04A0" w:firstRow="1" w:lastRow="0" w:firstColumn="1" w:lastColumn="0" w:noHBand="0" w:noVBand="1"/>
      </w:tblPr>
      <w:tblGrid>
        <w:gridCol w:w="3094"/>
        <w:gridCol w:w="2137"/>
        <w:gridCol w:w="2286"/>
        <w:gridCol w:w="3120"/>
      </w:tblGrid>
      <w:tr w:rsidR="009726DE" w:rsidRPr="009726DE" w:rsidTr="009726DE">
        <w:tc>
          <w:tcPr>
            <w:tcW w:w="3154" w:type="dxa"/>
          </w:tcPr>
          <w:p w:rsidR="009726DE" w:rsidRPr="009726DE" w:rsidRDefault="009726DE" w:rsidP="009726DE">
            <w:pPr>
              <w:pStyle w:val="Default"/>
              <w:jc w:val="both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</w:p>
        </w:tc>
        <w:tc>
          <w:tcPr>
            <w:tcW w:w="7483" w:type="dxa"/>
            <w:gridSpan w:val="3"/>
          </w:tcPr>
          <w:p w:rsidR="009726DE" w:rsidRPr="009726DE" w:rsidRDefault="009726DE" w:rsidP="009726DE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>Soirée</w:t>
            </w:r>
            <w:r w:rsidRPr="009726DE">
              <w:rPr>
                <w:rFonts w:ascii="Andalus" w:hAnsi="Andalus" w:cs="Andalus"/>
                <w:color w:val="FF0000"/>
                <w:sz w:val="28"/>
                <w:szCs w:val="28"/>
              </w:rPr>
              <w:t xml:space="preserve"> dans la semaine </w:t>
            </w:r>
          </w:p>
        </w:tc>
      </w:tr>
      <w:tr w:rsidR="009726DE" w:rsidRPr="009726DE" w:rsidTr="009726DE">
        <w:tc>
          <w:tcPr>
            <w:tcW w:w="3154" w:type="dxa"/>
          </w:tcPr>
          <w:p w:rsidR="009726DE" w:rsidRPr="009726DE" w:rsidRDefault="009726DE" w:rsidP="009726DE">
            <w:pPr>
              <w:pStyle w:val="Default"/>
              <w:jc w:val="both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</w:p>
        </w:tc>
        <w:tc>
          <w:tcPr>
            <w:tcW w:w="2152" w:type="dxa"/>
          </w:tcPr>
          <w:p w:rsidR="009726DE" w:rsidRPr="009726DE" w:rsidRDefault="009726DE" w:rsidP="009726DE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Particuliers locaux + employés communaux </w:t>
            </w:r>
          </w:p>
        </w:tc>
        <w:tc>
          <w:tcPr>
            <w:tcW w:w="2152" w:type="dxa"/>
          </w:tcPr>
          <w:p w:rsidR="009726DE" w:rsidRPr="009726DE" w:rsidRDefault="009726DE" w:rsidP="009726DE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Associations </w:t>
            </w:r>
          </w:p>
          <w:p w:rsidR="009726DE" w:rsidRPr="009726DE" w:rsidRDefault="009726DE" w:rsidP="009726DE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+ Réunions communautaires</w:t>
            </w:r>
          </w:p>
        </w:tc>
        <w:tc>
          <w:tcPr>
            <w:tcW w:w="3179" w:type="dxa"/>
          </w:tcPr>
          <w:p w:rsidR="009726DE" w:rsidRPr="009726DE" w:rsidRDefault="009726DE" w:rsidP="009726DE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Personnes extérieures + réunions électorales + autres</w:t>
            </w:r>
          </w:p>
        </w:tc>
      </w:tr>
      <w:tr w:rsidR="009726DE" w:rsidRPr="009726DE" w:rsidTr="009726DE">
        <w:tc>
          <w:tcPr>
            <w:tcW w:w="3154" w:type="dxa"/>
          </w:tcPr>
          <w:p w:rsidR="009726DE" w:rsidRPr="009726DE" w:rsidRDefault="009726DE" w:rsidP="009726DE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Salle 1</w:t>
            </w:r>
          </w:p>
        </w:tc>
        <w:tc>
          <w:tcPr>
            <w:tcW w:w="2152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30 €</w:t>
            </w:r>
          </w:p>
        </w:tc>
        <w:tc>
          <w:tcPr>
            <w:tcW w:w="2152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gratuit</w:t>
            </w:r>
          </w:p>
        </w:tc>
        <w:tc>
          <w:tcPr>
            <w:tcW w:w="3179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50 €</w:t>
            </w:r>
          </w:p>
        </w:tc>
      </w:tr>
      <w:tr w:rsidR="009726DE" w:rsidRPr="009726DE" w:rsidTr="009726DE">
        <w:tc>
          <w:tcPr>
            <w:tcW w:w="3154" w:type="dxa"/>
          </w:tcPr>
          <w:p w:rsidR="009726DE" w:rsidRPr="009726DE" w:rsidRDefault="009726DE" w:rsidP="009726DE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Salle 2</w:t>
            </w:r>
          </w:p>
        </w:tc>
        <w:tc>
          <w:tcPr>
            <w:tcW w:w="2152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30 €</w:t>
            </w:r>
          </w:p>
        </w:tc>
        <w:tc>
          <w:tcPr>
            <w:tcW w:w="2152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gratuit</w:t>
            </w:r>
          </w:p>
        </w:tc>
        <w:tc>
          <w:tcPr>
            <w:tcW w:w="3179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50 €</w:t>
            </w:r>
          </w:p>
        </w:tc>
      </w:tr>
      <w:tr w:rsidR="009726DE" w:rsidRPr="009726DE" w:rsidTr="009726DE">
        <w:tc>
          <w:tcPr>
            <w:tcW w:w="3154" w:type="dxa"/>
          </w:tcPr>
          <w:p w:rsidR="009726DE" w:rsidRPr="009726DE" w:rsidRDefault="009726DE" w:rsidP="009726DE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Les deux salles</w:t>
            </w:r>
          </w:p>
        </w:tc>
        <w:tc>
          <w:tcPr>
            <w:tcW w:w="2152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60 €</w:t>
            </w:r>
          </w:p>
        </w:tc>
        <w:tc>
          <w:tcPr>
            <w:tcW w:w="2152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gratuit</w:t>
            </w:r>
          </w:p>
        </w:tc>
        <w:tc>
          <w:tcPr>
            <w:tcW w:w="3179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100 €</w:t>
            </w:r>
          </w:p>
        </w:tc>
      </w:tr>
      <w:tr w:rsidR="009726DE" w:rsidRPr="009726DE" w:rsidTr="009726DE">
        <w:tc>
          <w:tcPr>
            <w:tcW w:w="3154" w:type="dxa"/>
          </w:tcPr>
          <w:p w:rsidR="009726DE" w:rsidRPr="009726DE" w:rsidRDefault="009726DE" w:rsidP="009726DE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Chauffage du 1/10 au 31/03</w:t>
            </w:r>
          </w:p>
        </w:tc>
        <w:tc>
          <w:tcPr>
            <w:tcW w:w="2152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20 €</w:t>
            </w:r>
          </w:p>
        </w:tc>
        <w:tc>
          <w:tcPr>
            <w:tcW w:w="2152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20 €</w:t>
            </w:r>
          </w:p>
        </w:tc>
        <w:tc>
          <w:tcPr>
            <w:tcW w:w="3179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20 €</w:t>
            </w:r>
          </w:p>
        </w:tc>
      </w:tr>
      <w:tr w:rsidR="009726DE" w:rsidRPr="009726DE" w:rsidTr="009726DE">
        <w:tc>
          <w:tcPr>
            <w:tcW w:w="3154" w:type="dxa"/>
          </w:tcPr>
          <w:p w:rsidR="009726DE" w:rsidRPr="009726DE" w:rsidRDefault="009726DE" w:rsidP="009726DE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Chauffage avril, mai, septembre </w:t>
            </w:r>
          </w:p>
        </w:tc>
        <w:tc>
          <w:tcPr>
            <w:tcW w:w="2152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10 €</w:t>
            </w:r>
          </w:p>
        </w:tc>
        <w:tc>
          <w:tcPr>
            <w:tcW w:w="2152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10 €</w:t>
            </w:r>
          </w:p>
        </w:tc>
        <w:tc>
          <w:tcPr>
            <w:tcW w:w="3179" w:type="dxa"/>
          </w:tcPr>
          <w:p w:rsidR="009726DE" w:rsidRPr="009726DE" w:rsidRDefault="009726DE" w:rsidP="009726DE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10 €</w:t>
            </w:r>
          </w:p>
        </w:tc>
      </w:tr>
    </w:tbl>
    <w:p w:rsidR="006842A5" w:rsidRDefault="009726DE" w:rsidP="009726DE">
      <w:pPr>
        <w:ind w:left="-851" w:right="-851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124460</wp:posOffset>
                </wp:positionV>
                <wp:extent cx="4572000" cy="10668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6DE" w:rsidRPr="009726DE" w:rsidRDefault="009726DE" w:rsidP="009726DE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726DE">
                              <w:rPr>
                                <w:rFonts w:ascii="Andalus" w:hAnsi="Andalus" w:cs="Andalus"/>
                                <w:b/>
                                <w:sz w:val="48"/>
                                <w:szCs w:val="48"/>
                                <w:u w:val="single"/>
                              </w:rPr>
                              <w:t>Location des salles communales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7.9pt;margin-top:9.8pt;width:5in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" fillcolor="white [3201]" strokeweight=".5pt">
                <v:textbox>
                  <w:txbxContent>
                    <w:p w:rsidR="009726DE" w:rsidRPr="009726DE" w:rsidRDefault="009726DE" w:rsidP="009726DE">
                      <w:pPr>
                        <w:jc w:val="center"/>
                        <w:rPr>
                          <w:rFonts w:ascii="Andalus" w:hAnsi="Andalus" w:cs="Andalus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9726DE">
                        <w:rPr>
                          <w:rFonts w:ascii="Andalus" w:hAnsi="Andalus" w:cs="Andalus"/>
                          <w:b/>
                          <w:sz w:val="48"/>
                          <w:szCs w:val="48"/>
                          <w:u w:val="single"/>
                        </w:rPr>
                        <w:t>Location des salles communales</w:t>
                      </w:r>
                    </w:p>
                  </w:txbxContent>
                </v:textbox>
              </v:shape>
            </w:pict>
          </mc:Fallback>
        </mc:AlternateContent>
      </w:r>
    </w:p>
    <w:p w:rsidR="009726DE" w:rsidRDefault="009726DE" w:rsidP="009726DE">
      <w:pPr>
        <w:ind w:left="-851" w:right="-851"/>
        <w:rPr>
          <w:sz w:val="28"/>
          <w:szCs w:val="28"/>
        </w:rPr>
      </w:pPr>
    </w:p>
    <w:p w:rsidR="009726DE" w:rsidRDefault="009726DE" w:rsidP="009726DE">
      <w:pPr>
        <w:ind w:left="-851" w:right="-851"/>
        <w:rPr>
          <w:sz w:val="28"/>
          <w:szCs w:val="28"/>
        </w:rPr>
      </w:pPr>
      <w:bookmarkStart w:id="0" w:name="_GoBack"/>
      <w:bookmarkEnd w:id="0"/>
    </w:p>
    <w:p w:rsidR="009726DE" w:rsidRDefault="009726DE" w:rsidP="009726DE">
      <w:pPr>
        <w:ind w:left="-851" w:right="-851"/>
        <w:rPr>
          <w:sz w:val="28"/>
          <w:szCs w:val="28"/>
        </w:rPr>
      </w:pPr>
    </w:p>
    <w:p w:rsidR="009726DE" w:rsidRDefault="009726DE" w:rsidP="009726DE">
      <w:pPr>
        <w:ind w:left="-851" w:right="-851"/>
        <w:rPr>
          <w:sz w:val="28"/>
          <w:szCs w:val="28"/>
        </w:rPr>
      </w:pPr>
    </w:p>
    <w:p w:rsidR="009726DE" w:rsidRPr="009726DE" w:rsidRDefault="009726DE" w:rsidP="009726DE">
      <w:pPr>
        <w:ind w:left="-851" w:right="-851"/>
        <w:rPr>
          <w:sz w:val="28"/>
          <w:szCs w:val="28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955"/>
        <w:gridCol w:w="2137"/>
        <w:gridCol w:w="2286"/>
        <w:gridCol w:w="3396"/>
      </w:tblGrid>
      <w:tr w:rsidR="009726DE" w:rsidRPr="009726DE" w:rsidTr="009726DE">
        <w:tc>
          <w:tcPr>
            <w:tcW w:w="3007" w:type="dxa"/>
          </w:tcPr>
          <w:p w:rsidR="009726DE" w:rsidRPr="009726DE" w:rsidRDefault="009726DE" w:rsidP="00EE1481">
            <w:pPr>
              <w:pStyle w:val="Default"/>
              <w:jc w:val="both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</w:p>
        </w:tc>
        <w:tc>
          <w:tcPr>
            <w:tcW w:w="7767" w:type="dxa"/>
            <w:gridSpan w:val="3"/>
          </w:tcPr>
          <w:p w:rsidR="009726DE" w:rsidRPr="009726DE" w:rsidRDefault="009726DE" w:rsidP="00EE1481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>Week End</w:t>
            </w:r>
            <w:r w:rsidRPr="009726DE">
              <w:rPr>
                <w:rFonts w:ascii="Andalus" w:hAnsi="Andalus" w:cs="Andalus"/>
                <w:color w:val="FF0000"/>
                <w:sz w:val="28"/>
                <w:szCs w:val="28"/>
              </w:rPr>
              <w:t xml:space="preserve"> (samedi et dimanche) et jours fériés (veille et jour férié)</w:t>
            </w:r>
          </w:p>
        </w:tc>
      </w:tr>
      <w:tr w:rsidR="009726DE" w:rsidRPr="009726DE" w:rsidTr="009726DE">
        <w:tc>
          <w:tcPr>
            <w:tcW w:w="3007" w:type="dxa"/>
          </w:tcPr>
          <w:p w:rsidR="009726DE" w:rsidRPr="009726DE" w:rsidRDefault="009726DE" w:rsidP="00EE1481">
            <w:pPr>
              <w:pStyle w:val="Default"/>
              <w:jc w:val="both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</w:p>
        </w:tc>
        <w:tc>
          <w:tcPr>
            <w:tcW w:w="2152" w:type="dxa"/>
          </w:tcPr>
          <w:p w:rsidR="009726DE" w:rsidRPr="009726DE" w:rsidRDefault="009726DE" w:rsidP="00EE1481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administrés + employés communaux  </w:t>
            </w:r>
          </w:p>
        </w:tc>
        <w:tc>
          <w:tcPr>
            <w:tcW w:w="2152" w:type="dxa"/>
          </w:tcPr>
          <w:p w:rsidR="009726DE" w:rsidRPr="009726DE" w:rsidRDefault="009726DE" w:rsidP="00EE1481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Associations </w:t>
            </w:r>
          </w:p>
          <w:p w:rsidR="009726DE" w:rsidRPr="009726DE" w:rsidRDefault="009726DE" w:rsidP="00EE1481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+ Réunions communautaires</w:t>
            </w:r>
          </w:p>
        </w:tc>
        <w:tc>
          <w:tcPr>
            <w:tcW w:w="3463" w:type="dxa"/>
          </w:tcPr>
          <w:p w:rsidR="009726DE" w:rsidRPr="009726DE" w:rsidRDefault="009726DE" w:rsidP="00EE1481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Personnes extérieures + réunions électorales + autres</w:t>
            </w:r>
          </w:p>
        </w:tc>
      </w:tr>
      <w:tr w:rsidR="009726DE" w:rsidRPr="009726DE" w:rsidTr="009726DE">
        <w:tc>
          <w:tcPr>
            <w:tcW w:w="3007" w:type="dxa"/>
          </w:tcPr>
          <w:p w:rsidR="009726DE" w:rsidRPr="009726DE" w:rsidRDefault="009726DE" w:rsidP="00EE1481">
            <w:pPr>
              <w:pStyle w:val="Default"/>
              <w:jc w:val="both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Salle 1</w:t>
            </w:r>
          </w:p>
        </w:tc>
        <w:tc>
          <w:tcPr>
            <w:tcW w:w="2152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60 €</w:t>
            </w:r>
          </w:p>
        </w:tc>
        <w:tc>
          <w:tcPr>
            <w:tcW w:w="2152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gratuit</w:t>
            </w:r>
          </w:p>
        </w:tc>
        <w:tc>
          <w:tcPr>
            <w:tcW w:w="3463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80 €</w:t>
            </w:r>
          </w:p>
        </w:tc>
      </w:tr>
      <w:tr w:rsidR="009726DE" w:rsidRPr="009726DE" w:rsidTr="009726DE">
        <w:tc>
          <w:tcPr>
            <w:tcW w:w="3007" w:type="dxa"/>
          </w:tcPr>
          <w:p w:rsidR="009726DE" w:rsidRPr="009726DE" w:rsidRDefault="009726DE" w:rsidP="00EE1481">
            <w:pPr>
              <w:pStyle w:val="Default"/>
              <w:jc w:val="both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Salle 2</w:t>
            </w:r>
          </w:p>
        </w:tc>
        <w:tc>
          <w:tcPr>
            <w:tcW w:w="2152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50 €</w:t>
            </w:r>
          </w:p>
        </w:tc>
        <w:tc>
          <w:tcPr>
            <w:tcW w:w="2152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gratuit</w:t>
            </w:r>
          </w:p>
        </w:tc>
        <w:tc>
          <w:tcPr>
            <w:tcW w:w="3463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70 €</w:t>
            </w:r>
          </w:p>
        </w:tc>
      </w:tr>
      <w:tr w:rsidR="009726DE" w:rsidRPr="009726DE" w:rsidTr="009726DE">
        <w:tc>
          <w:tcPr>
            <w:tcW w:w="3007" w:type="dxa"/>
          </w:tcPr>
          <w:p w:rsidR="009726DE" w:rsidRPr="009726DE" w:rsidRDefault="009726DE" w:rsidP="00EE1481">
            <w:pPr>
              <w:pStyle w:val="Default"/>
              <w:jc w:val="both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Les deux salles</w:t>
            </w:r>
          </w:p>
        </w:tc>
        <w:tc>
          <w:tcPr>
            <w:tcW w:w="2152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110 €</w:t>
            </w:r>
          </w:p>
        </w:tc>
        <w:tc>
          <w:tcPr>
            <w:tcW w:w="2152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gratuit</w:t>
            </w:r>
          </w:p>
        </w:tc>
        <w:tc>
          <w:tcPr>
            <w:tcW w:w="3463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150 €</w:t>
            </w:r>
          </w:p>
        </w:tc>
      </w:tr>
      <w:tr w:rsidR="009726DE" w:rsidRPr="009726DE" w:rsidTr="009726DE">
        <w:tc>
          <w:tcPr>
            <w:tcW w:w="3007" w:type="dxa"/>
          </w:tcPr>
          <w:p w:rsidR="009726DE" w:rsidRPr="009726DE" w:rsidRDefault="009726DE" w:rsidP="00EE1481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Chauffage du 1/10 au 31/03</w:t>
            </w:r>
          </w:p>
        </w:tc>
        <w:tc>
          <w:tcPr>
            <w:tcW w:w="2152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40 €</w:t>
            </w:r>
          </w:p>
        </w:tc>
        <w:tc>
          <w:tcPr>
            <w:tcW w:w="2152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40 €</w:t>
            </w:r>
          </w:p>
        </w:tc>
        <w:tc>
          <w:tcPr>
            <w:tcW w:w="3463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40 €</w:t>
            </w:r>
          </w:p>
        </w:tc>
      </w:tr>
      <w:tr w:rsidR="009726DE" w:rsidRPr="009726DE" w:rsidTr="009726DE">
        <w:tc>
          <w:tcPr>
            <w:tcW w:w="3007" w:type="dxa"/>
          </w:tcPr>
          <w:p w:rsidR="009726DE" w:rsidRPr="009726DE" w:rsidRDefault="009726DE" w:rsidP="00EE1481">
            <w:pPr>
              <w:pStyle w:val="Default"/>
              <w:jc w:val="center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 xml:space="preserve">Chauffage avril, mai, septembre </w:t>
            </w:r>
          </w:p>
        </w:tc>
        <w:tc>
          <w:tcPr>
            <w:tcW w:w="2152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20 €</w:t>
            </w:r>
          </w:p>
        </w:tc>
        <w:tc>
          <w:tcPr>
            <w:tcW w:w="2152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20 €</w:t>
            </w:r>
          </w:p>
        </w:tc>
        <w:tc>
          <w:tcPr>
            <w:tcW w:w="3463" w:type="dxa"/>
          </w:tcPr>
          <w:p w:rsidR="009726DE" w:rsidRPr="009726DE" w:rsidRDefault="009726DE" w:rsidP="00EE1481">
            <w:pPr>
              <w:pStyle w:val="Default"/>
              <w:jc w:val="right"/>
              <w:rPr>
                <w:rFonts w:ascii="Andalus" w:hAnsi="Andalus" w:cs="Andalus"/>
                <w:color w:val="000000" w:themeColor="text1"/>
                <w:sz w:val="28"/>
                <w:szCs w:val="28"/>
              </w:rPr>
            </w:pPr>
            <w:r w:rsidRPr="009726DE">
              <w:rPr>
                <w:rFonts w:ascii="Andalus" w:hAnsi="Andalus" w:cs="Andalus"/>
                <w:color w:val="000000" w:themeColor="text1"/>
                <w:sz w:val="28"/>
                <w:szCs w:val="28"/>
              </w:rPr>
              <w:t>20 €</w:t>
            </w:r>
          </w:p>
        </w:tc>
      </w:tr>
    </w:tbl>
    <w:p w:rsidR="009726DE" w:rsidRDefault="009726DE">
      <w:pPr>
        <w:rPr>
          <w:sz w:val="28"/>
          <w:szCs w:val="28"/>
        </w:rPr>
      </w:pPr>
    </w:p>
    <w:p w:rsidR="009726DE" w:rsidRDefault="009726DE">
      <w:pPr>
        <w:rPr>
          <w:sz w:val="28"/>
          <w:szCs w:val="28"/>
        </w:rPr>
      </w:pPr>
    </w:p>
    <w:p w:rsidR="00880D0C" w:rsidRDefault="00880D0C">
      <w:pPr>
        <w:rPr>
          <w:sz w:val="28"/>
          <w:szCs w:val="28"/>
        </w:rPr>
      </w:pPr>
    </w:p>
    <w:p w:rsidR="00880D0C" w:rsidRDefault="00880D0C">
      <w:pPr>
        <w:rPr>
          <w:sz w:val="28"/>
          <w:szCs w:val="28"/>
        </w:rPr>
      </w:pPr>
    </w:p>
    <w:p w:rsidR="00880D0C" w:rsidRDefault="00880D0C">
      <w:pPr>
        <w:rPr>
          <w:sz w:val="28"/>
          <w:szCs w:val="28"/>
        </w:rPr>
      </w:pPr>
    </w:p>
    <w:p w:rsidR="00880D0C" w:rsidRDefault="00880D0C">
      <w:pPr>
        <w:rPr>
          <w:sz w:val="28"/>
          <w:szCs w:val="28"/>
        </w:rPr>
      </w:pPr>
    </w:p>
    <w:p w:rsidR="009726DE" w:rsidRPr="009726DE" w:rsidRDefault="009726DE">
      <w:pPr>
        <w:rPr>
          <w:sz w:val="28"/>
          <w:szCs w:val="28"/>
        </w:rPr>
      </w:pPr>
    </w:p>
    <w:p w:rsidR="009726DE" w:rsidRPr="009726DE" w:rsidRDefault="009726DE" w:rsidP="009726DE">
      <w:pPr>
        <w:jc w:val="center"/>
        <w:rPr>
          <w:rFonts w:ascii="Andalus" w:hAnsi="Andalus" w:cs="Andalus"/>
          <w:b/>
          <w:color w:val="FF0000"/>
          <w:sz w:val="32"/>
          <w:szCs w:val="32"/>
          <w:u w:val="single"/>
        </w:rPr>
      </w:pPr>
      <w:r w:rsidRPr="009726DE">
        <w:rPr>
          <w:rFonts w:ascii="Andalus" w:hAnsi="Andalus" w:cs="Andalus"/>
          <w:b/>
          <w:color w:val="FF0000"/>
          <w:sz w:val="32"/>
          <w:szCs w:val="32"/>
          <w:u w:val="single"/>
        </w:rPr>
        <w:t>PRET DU MATERIEL</w:t>
      </w:r>
    </w:p>
    <w:p w:rsidR="009726DE" w:rsidRPr="009726DE" w:rsidRDefault="009726DE" w:rsidP="009726DE">
      <w:pPr>
        <w:jc w:val="center"/>
        <w:rPr>
          <w:rFonts w:ascii="Andalus" w:hAnsi="Andalus" w:cs="Andalus"/>
          <w:b/>
          <w:sz w:val="32"/>
          <w:szCs w:val="32"/>
          <w:u w:val="single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5317"/>
        <w:gridCol w:w="5315"/>
      </w:tblGrid>
      <w:tr w:rsidR="009726DE" w:rsidRPr="009726DE" w:rsidTr="009726DE">
        <w:tc>
          <w:tcPr>
            <w:tcW w:w="5317" w:type="dxa"/>
          </w:tcPr>
          <w:p w:rsidR="009726DE" w:rsidRPr="009726DE" w:rsidRDefault="009726DE" w:rsidP="00EE1481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9726DE">
              <w:rPr>
                <w:rFonts w:ascii="Andalus" w:hAnsi="Andalus" w:cs="Andalus"/>
                <w:sz w:val="32"/>
                <w:szCs w:val="32"/>
              </w:rPr>
              <w:t>Chaises, lave-vaisselle, réfrigérateur</w:t>
            </w:r>
          </w:p>
        </w:tc>
        <w:tc>
          <w:tcPr>
            <w:tcW w:w="5315" w:type="dxa"/>
          </w:tcPr>
          <w:p w:rsidR="009726DE" w:rsidRPr="009726DE" w:rsidRDefault="009726DE" w:rsidP="00EE1481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9726DE">
              <w:rPr>
                <w:rFonts w:ascii="Andalus" w:hAnsi="Andalus" w:cs="Andalus"/>
                <w:sz w:val="32"/>
                <w:szCs w:val="32"/>
              </w:rPr>
              <w:t>Compris dans le prix de la location</w:t>
            </w:r>
          </w:p>
        </w:tc>
      </w:tr>
      <w:tr w:rsidR="009726DE" w:rsidRPr="009726DE" w:rsidTr="009726DE">
        <w:tc>
          <w:tcPr>
            <w:tcW w:w="5317" w:type="dxa"/>
          </w:tcPr>
          <w:p w:rsidR="009726DE" w:rsidRPr="009726DE" w:rsidRDefault="009726DE" w:rsidP="00EE1481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9726DE">
              <w:rPr>
                <w:rFonts w:ascii="Andalus" w:hAnsi="Andalus" w:cs="Andalus"/>
                <w:sz w:val="32"/>
                <w:szCs w:val="32"/>
              </w:rPr>
              <w:t>Vaisselle cassée</w:t>
            </w:r>
          </w:p>
        </w:tc>
        <w:tc>
          <w:tcPr>
            <w:tcW w:w="5315" w:type="dxa"/>
          </w:tcPr>
          <w:p w:rsidR="009726DE" w:rsidRPr="009726DE" w:rsidRDefault="009726DE" w:rsidP="00EE1481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9726DE">
              <w:rPr>
                <w:rFonts w:ascii="Andalus" w:hAnsi="Andalus" w:cs="Andalus"/>
                <w:sz w:val="32"/>
                <w:szCs w:val="32"/>
              </w:rPr>
              <w:t>1.50 € / verre, tasse et couvert ou 4.50 € / assiette, pichet, plat etc….</w:t>
            </w:r>
          </w:p>
        </w:tc>
      </w:tr>
    </w:tbl>
    <w:p w:rsidR="009726DE" w:rsidRDefault="009726DE" w:rsidP="009726DE">
      <w:pPr>
        <w:spacing w:after="0" w:line="240" w:lineRule="auto"/>
        <w:rPr>
          <w:rFonts w:ascii="Andalus" w:hAnsi="Andalus" w:cs="Andalus"/>
          <w:b/>
          <w:sz w:val="32"/>
          <w:szCs w:val="32"/>
          <w:u w:val="single"/>
        </w:rPr>
      </w:pPr>
    </w:p>
    <w:p w:rsidR="009726DE" w:rsidRPr="009726DE" w:rsidRDefault="009726DE" w:rsidP="009726DE">
      <w:pPr>
        <w:spacing w:after="0" w:line="240" w:lineRule="auto"/>
        <w:rPr>
          <w:rFonts w:ascii="Andalus" w:hAnsi="Andalus" w:cs="Andalus"/>
          <w:b/>
          <w:sz w:val="32"/>
          <w:szCs w:val="32"/>
          <w:u w:val="single"/>
        </w:rPr>
      </w:pPr>
    </w:p>
    <w:p w:rsidR="009726DE" w:rsidRDefault="009726DE" w:rsidP="009726DE">
      <w:p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  <w:r w:rsidRPr="009726DE">
        <w:rPr>
          <w:rFonts w:ascii="Andalus" w:hAnsi="Andalus" w:cs="Andalus"/>
          <w:b/>
          <w:sz w:val="32"/>
          <w:szCs w:val="32"/>
        </w:rPr>
        <w:t>Administrés</w:t>
      </w:r>
      <w:r w:rsidRPr="009726DE">
        <w:rPr>
          <w:rFonts w:ascii="Andalus" w:hAnsi="Andalus" w:cs="Andalus"/>
          <w:sz w:val="32"/>
          <w:szCs w:val="32"/>
        </w:rPr>
        <w:t> : personnes domiciliés sur la commune (présentation d’un justificatif de domicile)</w:t>
      </w:r>
    </w:p>
    <w:p w:rsidR="009726DE" w:rsidRPr="009726DE" w:rsidRDefault="009726DE" w:rsidP="009726DE">
      <w:p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</w:p>
    <w:p w:rsidR="009726DE" w:rsidRPr="009726DE" w:rsidRDefault="009726DE" w:rsidP="009726DE">
      <w:p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  <w:r w:rsidRPr="009726DE">
        <w:rPr>
          <w:rFonts w:ascii="Andalus" w:hAnsi="Andalus" w:cs="Andalus"/>
          <w:b/>
          <w:sz w:val="32"/>
          <w:szCs w:val="32"/>
        </w:rPr>
        <w:t>Employés communaux</w:t>
      </w:r>
      <w:r w:rsidRPr="009726DE">
        <w:rPr>
          <w:rFonts w:ascii="Andalus" w:hAnsi="Andalus" w:cs="Andalus"/>
          <w:sz w:val="32"/>
          <w:szCs w:val="32"/>
        </w:rPr>
        <w:t> : personnel communal en poste depuis plus de 6 mois.</w:t>
      </w:r>
    </w:p>
    <w:p w:rsidR="009726DE" w:rsidRPr="009726DE" w:rsidRDefault="009726DE" w:rsidP="009726DE">
      <w:p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  <w:r w:rsidRPr="009726DE">
        <w:rPr>
          <w:rFonts w:ascii="Andalus" w:hAnsi="Andalus" w:cs="Andalus"/>
          <w:sz w:val="32"/>
          <w:szCs w:val="32"/>
        </w:rPr>
        <w:t>La gratuité est accordée :</w:t>
      </w:r>
    </w:p>
    <w:p w:rsidR="009726DE" w:rsidRPr="009726DE" w:rsidRDefault="009726DE" w:rsidP="009726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  <w:r w:rsidRPr="009726DE">
        <w:rPr>
          <w:rFonts w:ascii="Andalus" w:hAnsi="Andalus" w:cs="Andalus"/>
          <w:sz w:val="32"/>
          <w:szCs w:val="32"/>
        </w:rPr>
        <w:t>Aux associations locales organisant des manifestations présentant un intérêt pour la commune</w:t>
      </w:r>
    </w:p>
    <w:p w:rsidR="009726DE" w:rsidRPr="009726DE" w:rsidRDefault="009726DE" w:rsidP="009726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  <w:r w:rsidRPr="009726DE">
        <w:rPr>
          <w:rFonts w:ascii="Andalus" w:hAnsi="Andalus" w:cs="Andalus"/>
          <w:sz w:val="32"/>
          <w:szCs w:val="32"/>
        </w:rPr>
        <w:t>Aux associations locales d’anciens combattants.</w:t>
      </w:r>
    </w:p>
    <w:p w:rsidR="009726DE" w:rsidRPr="009726DE" w:rsidRDefault="009726DE" w:rsidP="009726DE">
      <w:p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</w:p>
    <w:p w:rsidR="009726DE" w:rsidRDefault="009726DE" w:rsidP="009726DE">
      <w:p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  <w:r w:rsidRPr="009726DE">
        <w:rPr>
          <w:rFonts w:ascii="Andalus" w:hAnsi="Andalus" w:cs="Andalus"/>
          <w:sz w:val="32"/>
          <w:szCs w:val="32"/>
        </w:rPr>
        <w:t>Toute autre demande sera examinée par le Conseil Municipal.</w:t>
      </w:r>
    </w:p>
    <w:p w:rsidR="009726DE" w:rsidRPr="009726DE" w:rsidRDefault="009726DE" w:rsidP="009726DE">
      <w:p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</w:p>
    <w:p w:rsidR="009726DE" w:rsidRPr="009726DE" w:rsidRDefault="009726DE" w:rsidP="009726DE">
      <w:p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  <w:r w:rsidRPr="009726DE">
        <w:rPr>
          <w:rFonts w:ascii="Andalus" w:hAnsi="Andalus" w:cs="Andalus"/>
          <w:b/>
          <w:sz w:val="32"/>
          <w:szCs w:val="32"/>
        </w:rPr>
        <w:t>Cautions</w:t>
      </w:r>
      <w:r w:rsidRPr="009726DE">
        <w:rPr>
          <w:rFonts w:ascii="Andalus" w:hAnsi="Andalus" w:cs="Andalus"/>
          <w:sz w:val="32"/>
          <w:szCs w:val="32"/>
        </w:rPr>
        <w:t xml:space="preserve"> (non encaissées)</w:t>
      </w:r>
    </w:p>
    <w:p w:rsidR="009726DE" w:rsidRPr="009726DE" w:rsidRDefault="009726DE" w:rsidP="009726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  <w:r w:rsidRPr="009726DE">
        <w:rPr>
          <w:rFonts w:ascii="Andalus" w:hAnsi="Andalus" w:cs="Andalus"/>
          <w:sz w:val="32"/>
          <w:szCs w:val="32"/>
        </w:rPr>
        <w:t>Pour dégradation : 100 €</w:t>
      </w:r>
    </w:p>
    <w:p w:rsidR="009726DE" w:rsidRPr="009726DE" w:rsidRDefault="009726DE" w:rsidP="009726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  <w:r w:rsidRPr="009726DE">
        <w:rPr>
          <w:rFonts w:ascii="Andalus" w:hAnsi="Andalus" w:cs="Andalus"/>
          <w:sz w:val="32"/>
          <w:szCs w:val="32"/>
        </w:rPr>
        <w:t>Pour nettoyage : 100 €</w:t>
      </w:r>
    </w:p>
    <w:p w:rsidR="009726DE" w:rsidRPr="009726DE" w:rsidRDefault="009726DE" w:rsidP="009726DE">
      <w:p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</w:p>
    <w:p w:rsidR="009726DE" w:rsidRPr="009726DE" w:rsidRDefault="009726DE" w:rsidP="009726DE">
      <w:pPr>
        <w:spacing w:after="0" w:line="240" w:lineRule="auto"/>
        <w:jc w:val="both"/>
        <w:rPr>
          <w:rFonts w:ascii="Andalus" w:hAnsi="Andalus" w:cs="Andalus"/>
          <w:sz w:val="32"/>
          <w:szCs w:val="32"/>
        </w:rPr>
      </w:pPr>
      <w:r w:rsidRPr="009726DE">
        <w:rPr>
          <w:rFonts w:ascii="Andalus" w:hAnsi="Andalus" w:cs="Andalus"/>
          <w:b/>
          <w:sz w:val="32"/>
          <w:szCs w:val="32"/>
        </w:rPr>
        <w:t>Arrhes</w:t>
      </w:r>
      <w:r w:rsidRPr="009726DE">
        <w:rPr>
          <w:rFonts w:ascii="Andalus" w:hAnsi="Andalus" w:cs="Andalus"/>
          <w:sz w:val="32"/>
          <w:szCs w:val="32"/>
        </w:rPr>
        <w:t> : 50 % de la location. La réservation sera effective à partir du versement des arrhes.</w:t>
      </w:r>
    </w:p>
    <w:p w:rsidR="009726DE" w:rsidRPr="009726DE" w:rsidRDefault="009726DE">
      <w:pPr>
        <w:rPr>
          <w:sz w:val="32"/>
          <w:szCs w:val="32"/>
        </w:rPr>
      </w:pPr>
    </w:p>
    <w:p w:rsidR="009726DE" w:rsidRPr="009726DE" w:rsidRDefault="009726DE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</w:t>
      </w:r>
    </w:p>
    <w:sectPr w:rsidR="009726DE" w:rsidRPr="009726DE" w:rsidSect="009726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595"/>
    <w:multiLevelType w:val="hybridMultilevel"/>
    <w:tmpl w:val="414A30B6"/>
    <w:lvl w:ilvl="0" w:tplc="C96EFAF6">
      <w:start w:val="20"/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DE"/>
    <w:rsid w:val="006842A5"/>
    <w:rsid w:val="00880D0C"/>
    <w:rsid w:val="009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C99D"/>
  <w15:chartTrackingRefBased/>
  <w15:docId w15:val="{DAE12A17-D9A7-4BB0-AAE2-A7DF9F55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6D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2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1319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JM</cp:lastModifiedBy>
  <cp:revision>2</cp:revision>
  <dcterms:created xsi:type="dcterms:W3CDTF">2017-01-05T13:51:00Z</dcterms:created>
  <dcterms:modified xsi:type="dcterms:W3CDTF">2018-09-07T08:23:00Z</dcterms:modified>
</cp:coreProperties>
</file>